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6A2" w:rsidRDefault="007C76A2">
      <w:pPr>
        <w:jc w:val="right"/>
      </w:pPr>
      <w:r>
        <w:t>Приложение к приказу</w:t>
      </w:r>
    </w:p>
    <w:p w:rsidR="007C76A2" w:rsidRDefault="007C76A2">
      <w:pPr>
        <w:jc w:val="right"/>
      </w:pPr>
      <w:r>
        <w:t>от 22.03.2021 года № 20/1-д</w:t>
      </w:r>
    </w:p>
    <w:p w:rsidR="007C76A2" w:rsidRDefault="007C76A2">
      <w:pPr>
        <w:rPr>
          <w:b/>
        </w:rPr>
      </w:pPr>
    </w:p>
    <w:p w:rsidR="007C76A2" w:rsidRDefault="007C76A2">
      <w:pPr>
        <w:ind w:firstLine="300"/>
        <w:jc w:val="center"/>
        <w:outlineLvl w:val="4"/>
        <w:rPr>
          <w:b/>
        </w:rPr>
      </w:pPr>
      <w:r>
        <w:rPr>
          <w:b/>
        </w:rPr>
        <w:t xml:space="preserve">Положение </w:t>
      </w:r>
    </w:p>
    <w:p w:rsidR="007C76A2" w:rsidRDefault="007C76A2">
      <w:pPr>
        <w:ind w:firstLine="300"/>
        <w:jc w:val="center"/>
        <w:outlineLvl w:val="4"/>
        <w:rPr>
          <w:b/>
          <w:highlight w:val="white"/>
        </w:rPr>
      </w:pPr>
      <w:r>
        <w:rPr>
          <w:b/>
        </w:rPr>
        <w:t xml:space="preserve">о проведении  </w:t>
      </w:r>
      <w:r>
        <w:rPr>
          <w:b/>
          <w:highlight w:val="white"/>
        </w:rPr>
        <w:t>промежуточной аттестации учащихся МАОУ «Краснослободская СОШ» и осуществлении текущего контроля их успеваемости</w:t>
      </w:r>
    </w:p>
    <w:p w:rsidR="007C76A2" w:rsidRDefault="007C76A2">
      <w:pPr>
        <w:ind w:firstLine="480"/>
        <w:jc w:val="both"/>
        <w:rPr>
          <w:b/>
        </w:rPr>
      </w:pPr>
    </w:p>
    <w:p w:rsidR="007C76A2" w:rsidRDefault="007C76A2">
      <w:pPr>
        <w:ind w:firstLine="480"/>
        <w:jc w:val="both"/>
        <w:rPr>
          <w:b/>
        </w:rPr>
      </w:pPr>
    </w:p>
    <w:p w:rsidR="007C76A2" w:rsidRDefault="007C76A2">
      <w:pPr>
        <w:numPr>
          <w:ilvl w:val="0"/>
          <w:numId w:val="1"/>
        </w:numPr>
        <w:ind w:left="0" w:firstLine="0"/>
        <w:contextualSpacing/>
        <w:jc w:val="center"/>
        <w:rPr>
          <w:b/>
        </w:rPr>
      </w:pPr>
      <w:r>
        <w:rPr>
          <w:b/>
        </w:rPr>
        <w:t>Общие положения</w:t>
      </w:r>
    </w:p>
    <w:p w:rsidR="007C76A2" w:rsidRDefault="007C76A2">
      <w:pPr>
        <w:contextualSpacing/>
        <w:rPr>
          <w:b/>
        </w:rPr>
      </w:pPr>
    </w:p>
    <w:p w:rsidR="007C76A2" w:rsidRDefault="007C76A2">
      <w:pPr>
        <w:numPr>
          <w:ilvl w:val="1"/>
          <w:numId w:val="1"/>
        </w:numPr>
        <w:ind w:left="0" w:firstLine="480"/>
        <w:contextualSpacing/>
        <w:jc w:val="both"/>
      </w:pPr>
      <w:r>
        <w:t xml:space="preserve">Настоящее Положение разработано в соответствии с Федеральным законом от 29 декабря </w:t>
      </w:r>
      <w:smartTag w:uri="urn:schemas-microsoft-com:office:smarttags" w:element="metricconverter">
        <w:smartTagPr>
          <w:attr w:name="ProductID" w:val="2012 г"/>
        </w:smartTagPr>
        <w:r>
          <w:t>2012 г</w:t>
        </w:r>
      </w:smartTag>
      <w:r>
        <w:t xml:space="preserve">. № 273-ФЗ «Об образовании в Российской Федерации»,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t>2013 г</w:t>
        </w:r>
      </w:smartTag>
      <w:r>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МАОУ «Краснослободская СОШ».</w:t>
      </w:r>
    </w:p>
    <w:p w:rsidR="007C76A2" w:rsidRDefault="007C76A2">
      <w:pPr>
        <w:ind w:firstLine="480"/>
        <w:jc w:val="both"/>
      </w:pPr>
      <w: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МАОУ «Краснослободская СОШ»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7C76A2" w:rsidRDefault="007C76A2">
      <w:pPr>
        <w:ind w:firstLine="540"/>
        <w:jc w:val="both"/>
      </w:pPr>
      <w: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w:t>
      </w:r>
    </w:p>
    <w:p w:rsidR="007C76A2" w:rsidRDefault="007C76A2">
      <w:pPr>
        <w:ind w:firstLine="480"/>
        <w:jc w:val="both"/>
      </w:pPr>
      <w:r>
        <w:t xml:space="preserve">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 </w:t>
      </w:r>
    </w:p>
    <w:p w:rsidR="007C76A2" w:rsidRDefault="007C76A2">
      <w:pPr>
        <w:ind w:firstLine="540"/>
        <w:jc w:val="both"/>
      </w:pPr>
      <w: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7C76A2" w:rsidRDefault="007C76A2">
      <w:pPr>
        <w:ind w:firstLine="426"/>
        <w:jc w:val="both"/>
      </w:pPr>
      <w:r>
        <w:t xml:space="preserve">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7C76A2" w:rsidRDefault="007C76A2">
      <w:pPr>
        <w:ind w:firstLine="426"/>
        <w:jc w:val="both"/>
      </w:pPr>
      <w:r>
        <w:t>Промежуточная аттестация проводится начиная со второго класса.</w:t>
      </w:r>
    </w:p>
    <w:p w:rsidR="007C76A2" w:rsidRDefault="007C76A2">
      <w:pPr>
        <w:ind w:firstLine="426"/>
        <w:jc w:val="both"/>
      </w:pPr>
      <w:r>
        <w:t xml:space="preserve">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триместра, четверти). </w:t>
      </w:r>
    </w:p>
    <w:p w:rsidR="007C76A2" w:rsidRDefault="007C76A2">
      <w:pPr>
        <w:ind w:firstLine="426"/>
        <w:jc w:val="both"/>
      </w:pPr>
      <w:r>
        <w:t>1.6. Сроки проведения промежуточной аттестации определяются образовательной программой, календарным учебным графиком.</w:t>
      </w:r>
    </w:p>
    <w:p w:rsidR="007C76A2" w:rsidRDefault="007C76A2">
      <w:pPr>
        <w:ind w:firstLine="426"/>
        <w:jc w:val="both"/>
      </w:pPr>
      <w:r>
        <w:t>1.7. Выставление итоговой отметки по каждому учебному предмету, курсу, дисциплине, модулю в 5-9 классах по итогам четверти, в 10-11 классах по итогам полугодия.</w:t>
      </w:r>
    </w:p>
    <w:p w:rsidR="007C76A2" w:rsidRDefault="007C76A2">
      <w:pPr>
        <w:ind w:firstLine="426"/>
        <w:jc w:val="both"/>
      </w:pPr>
      <w:r>
        <w:t>По решению педагогического совета школы в 5-9 классах по предметам (курсам, дисциплинам), объем учебной нагрузки, по которым меньше 1 часа в неделю, допускается выставление итоговой отметки по итогам полугодия.</w:t>
      </w:r>
    </w:p>
    <w:p w:rsidR="007C76A2" w:rsidRDefault="007C76A2">
      <w:pPr>
        <w:ind w:firstLine="426"/>
        <w:jc w:val="both"/>
      </w:pPr>
    </w:p>
    <w:p w:rsidR="007C76A2" w:rsidRDefault="007C76A2">
      <w:pPr>
        <w:ind w:firstLine="426"/>
        <w:jc w:val="both"/>
      </w:pPr>
    </w:p>
    <w:p w:rsidR="007C76A2" w:rsidRDefault="007C76A2">
      <w:pPr>
        <w:ind w:firstLine="426"/>
        <w:jc w:val="both"/>
      </w:pPr>
    </w:p>
    <w:p w:rsidR="007C76A2" w:rsidRDefault="007C76A2">
      <w:pPr>
        <w:numPr>
          <w:ilvl w:val="0"/>
          <w:numId w:val="1"/>
        </w:numPr>
        <w:ind w:left="0" w:firstLine="0"/>
        <w:contextualSpacing/>
        <w:jc w:val="center"/>
        <w:rPr>
          <w:b/>
        </w:rPr>
      </w:pPr>
      <w:r>
        <w:rPr>
          <w:b/>
        </w:rPr>
        <w:t>Содержание и порядок проведения текущего контроля успеваемости учащихся</w:t>
      </w:r>
    </w:p>
    <w:p w:rsidR="007C76A2" w:rsidRDefault="007C76A2">
      <w:pPr>
        <w:ind w:firstLine="480"/>
        <w:jc w:val="center"/>
      </w:pPr>
    </w:p>
    <w:p w:rsidR="007C76A2" w:rsidRDefault="007C76A2">
      <w:pPr>
        <w:ind w:firstLine="480"/>
        <w:jc w:val="both"/>
      </w:pPr>
      <w:r>
        <w:t xml:space="preserve"> 2.1. Текущий контроль успеваемости учащихся проводится в течение учебного периода в целях:</w:t>
      </w:r>
    </w:p>
    <w:p w:rsidR="007C76A2" w:rsidRDefault="007C76A2">
      <w:pPr>
        <w:ind w:firstLine="480"/>
        <w:jc w:val="both"/>
      </w:pPr>
      <w:r>
        <w:t>- контроля уровня достижения учащимися результатов, предусмотренных образовательной программой;</w:t>
      </w:r>
    </w:p>
    <w:p w:rsidR="007C76A2" w:rsidRDefault="007C76A2">
      <w:pPr>
        <w:ind w:firstLine="480"/>
        <w:jc w:val="both"/>
      </w:pPr>
      <w:r>
        <w:t>-  оценки соответствия результатов освоения образовательных программ  требованиям ФГОС;</w:t>
      </w:r>
    </w:p>
    <w:p w:rsidR="007C76A2" w:rsidRDefault="007C76A2">
      <w:pPr>
        <w:ind w:firstLine="480"/>
        <w:jc w:val="both"/>
      </w:pPr>
      <w: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7C76A2" w:rsidRDefault="007C76A2">
      <w:pPr>
        <w:ind w:firstLine="480"/>
        <w:jc w:val="both"/>
      </w:pPr>
      <w:r>
        <w:t>2.2. Текущий контроль осуществляется педагогическим работником, реализующим соответствующую часть образовательной программы.</w:t>
      </w:r>
    </w:p>
    <w:p w:rsidR="007C76A2" w:rsidRDefault="007C76A2">
      <w:pPr>
        <w:ind w:firstLine="480"/>
        <w:jc w:val="both"/>
      </w:pPr>
      <w: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7C76A2" w:rsidRDefault="007C76A2">
      <w:pPr>
        <w:ind w:firstLine="480"/>
        <w:jc w:val="both"/>
      </w:pPr>
      <w: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7C76A2" w:rsidRDefault="007C76A2">
      <w:pPr>
        <w:ind w:firstLine="480"/>
        <w:jc w:val="both"/>
      </w:pPr>
      <w: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7C76A2" w:rsidRDefault="007C76A2">
      <w:pPr>
        <w:ind w:firstLine="540"/>
        <w:jc w:val="both"/>
      </w:pPr>
      <w:r>
        <w:t xml:space="preserve">2.5. При выставлении четвертных оценок ориентироваться на средний балл. В случае спорных ситуаций, когда средний балл составляет «4,5», «3,5» и «2,5» балла, ориентироваться на средневзвешенный балл.  </w:t>
      </w:r>
    </w:p>
    <w:p w:rsidR="007C76A2" w:rsidRDefault="007C76A2">
      <w:pPr>
        <w:ind w:firstLine="540"/>
        <w:jc w:val="both"/>
      </w:pPr>
      <w:r>
        <w:t>При заполнении электронного журнала и выставлении текущих оценок в дате урока по журналу выставлять вместо «ОТВ» (если работа запланирована на весь урок) или добавлять к уроку (если запланированная работа является частью урока) следующие виды работ:</w:t>
      </w:r>
    </w:p>
    <w:p w:rsidR="007C76A2" w:rsidRDefault="007C76A2">
      <w:pPr>
        <w:ind w:firstLine="360"/>
      </w:pPr>
      <w:r>
        <w:t>Домашняя работа</w:t>
      </w:r>
    </w:p>
    <w:p w:rsidR="007C76A2" w:rsidRDefault="007C76A2">
      <w:pPr>
        <w:ind w:firstLine="360"/>
      </w:pPr>
      <w:r>
        <w:t>Самостоятельная работа</w:t>
      </w:r>
    </w:p>
    <w:p w:rsidR="007C76A2" w:rsidRDefault="007C76A2">
      <w:pPr>
        <w:ind w:firstLine="360"/>
      </w:pPr>
      <w:r>
        <w:t>Контрольная работа</w:t>
      </w:r>
    </w:p>
    <w:p w:rsidR="007C76A2" w:rsidRDefault="007C76A2">
      <w:pPr>
        <w:ind w:firstLine="360"/>
      </w:pPr>
      <w:r>
        <w:t>Сочинение</w:t>
      </w:r>
    </w:p>
    <w:p w:rsidR="007C76A2" w:rsidRDefault="007C76A2">
      <w:pPr>
        <w:ind w:firstLine="360"/>
      </w:pPr>
      <w:r>
        <w:t>Доклад</w:t>
      </w:r>
    </w:p>
    <w:p w:rsidR="007C76A2" w:rsidRDefault="007C76A2">
      <w:pPr>
        <w:ind w:firstLine="360"/>
      </w:pPr>
      <w:r>
        <w:t>Реферат</w:t>
      </w:r>
    </w:p>
    <w:p w:rsidR="007C76A2" w:rsidRDefault="007C76A2">
      <w:pPr>
        <w:ind w:firstLine="360"/>
      </w:pPr>
      <w:r>
        <w:t>Ответ на уроке</w:t>
      </w:r>
    </w:p>
    <w:p w:rsidR="007C76A2" w:rsidRDefault="007C76A2">
      <w:pPr>
        <w:ind w:firstLine="360"/>
      </w:pPr>
      <w:r>
        <w:t>Работа на уроке</w:t>
      </w:r>
    </w:p>
    <w:p w:rsidR="007C76A2" w:rsidRDefault="007C76A2">
      <w:pPr>
        <w:ind w:firstLine="360"/>
      </w:pPr>
      <w:r>
        <w:t>Административная контрольная работа</w:t>
      </w:r>
    </w:p>
    <w:p w:rsidR="007C76A2" w:rsidRDefault="007C76A2">
      <w:pPr>
        <w:ind w:firstLine="360"/>
      </w:pPr>
      <w:r>
        <w:t>Практическая работа</w:t>
      </w:r>
    </w:p>
    <w:p w:rsidR="007C76A2" w:rsidRDefault="007C76A2">
      <w:pPr>
        <w:ind w:firstLine="360"/>
      </w:pPr>
      <w:r>
        <w:t>Итоговая контрольная работа</w:t>
      </w:r>
    </w:p>
    <w:p w:rsidR="007C76A2" w:rsidRDefault="007C76A2">
      <w:pPr>
        <w:ind w:firstLine="360"/>
      </w:pPr>
      <w:r>
        <w:t>Диктант</w:t>
      </w:r>
    </w:p>
    <w:p w:rsidR="007C76A2" w:rsidRDefault="007C76A2">
      <w:pPr>
        <w:ind w:firstLine="360"/>
      </w:pPr>
      <w:r>
        <w:t>Контрольный диктант</w:t>
      </w:r>
    </w:p>
    <w:p w:rsidR="007C76A2" w:rsidRDefault="007C76A2">
      <w:pPr>
        <w:ind w:firstLine="360"/>
      </w:pPr>
      <w:r>
        <w:t>Итоговый контрольный диктант</w:t>
      </w:r>
    </w:p>
    <w:p w:rsidR="007C76A2" w:rsidRDefault="007C76A2">
      <w:pPr>
        <w:ind w:firstLine="360"/>
      </w:pPr>
      <w:r>
        <w:t>Изложение</w:t>
      </w:r>
    </w:p>
    <w:p w:rsidR="007C76A2" w:rsidRDefault="007C76A2">
      <w:pPr>
        <w:ind w:firstLine="360"/>
      </w:pPr>
      <w:r>
        <w:t>Изложение с элементами сочинения</w:t>
      </w:r>
    </w:p>
    <w:p w:rsidR="007C76A2" w:rsidRDefault="007C76A2">
      <w:pPr>
        <w:ind w:firstLine="360"/>
      </w:pPr>
      <w:r>
        <w:t>Работа с контурными картами</w:t>
      </w:r>
    </w:p>
    <w:p w:rsidR="007C76A2" w:rsidRDefault="007C76A2">
      <w:pPr>
        <w:ind w:firstLine="360"/>
      </w:pPr>
      <w:r>
        <w:t>Проект</w:t>
      </w:r>
    </w:p>
    <w:p w:rsidR="007C76A2" w:rsidRDefault="007C76A2">
      <w:pPr>
        <w:ind w:firstLine="360"/>
      </w:pPr>
      <w:r>
        <w:t>Индивидуальный проект</w:t>
      </w:r>
    </w:p>
    <w:p w:rsidR="007C76A2" w:rsidRDefault="007C76A2">
      <w:pPr>
        <w:ind w:firstLine="360"/>
      </w:pPr>
      <w:r>
        <w:t>Тест</w:t>
      </w:r>
    </w:p>
    <w:p w:rsidR="007C76A2" w:rsidRDefault="007C76A2">
      <w:pPr>
        <w:ind w:firstLine="360"/>
      </w:pPr>
      <w:r>
        <w:t>Зачет</w:t>
      </w:r>
    </w:p>
    <w:p w:rsidR="007C76A2" w:rsidRDefault="007C76A2">
      <w:pPr>
        <w:ind w:firstLine="360"/>
      </w:pPr>
      <w:r>
        <w:t>Лабораторная работа</w:t>
      </w:r>
    </w:p>
    <w:p w:rsidR="007C76A2" w:rsidRDefault="007C76A2">
      <w:pPr>
        <w:ind w:firstLine="360"/>
      </w:pPr>
      <w:r>
        <w:t>Рабочая тетрадь (конспект)</w:t>
      </w:r>
    </w:p>
    <w:p w:rsidR="007C76A2" w:rsidRDefault="007C76A2">
      <w:pPr>
        <w:ind w:firstLine="360"/>
      </w:pPr>
      <w:r>
        <w:t>Математический диктант</w:t>
      </w:r>
    </w:p>
    <w:p w:rsidR="007C76A2" w:rsidRDefault="007C76A2">
      <w:pPr>
        <w:ind w:firstLine="360"/>
      </w:pPr>
      <w:r>
        <w:t>Техника чтения</w:t>
      </w:r>
    </w:p>
    <w:p w:rsidR="007C76A2" w:rsidRDefault="007C76A2">
      <w:pPr>
        <w:ind w:firstLine="360"/>
      </w:pPr>
      <w:r>
        <w:t>Проверочная работа</w:t>
      </w:r>
    </w:p>
    <w:p w:rsidR="007C76A2" w:rsidRDefault="007C76A2">
      <w:pPr>
        <w:ind w:firstLine="360"/>
        <w:rPr>
          <w:lang w:val="en-US"/>
        </w:rPr>
      </w:pPr>
      <w:r>
        <w:t>Практические занятия</w:t>
      </w:r>
    </w:p>
    <w:p w:rsidR="007C76A2" w:rsidRPr="0059011A" w:rsidRDefault="007C76A2">
      <w:pPr>
        <w:ind w:firstLine="360"/>
      </w:pPr>
      <w:r>
        <w:t>Продуктивные задания</w:t>
      </w:r>
    </w:p>
    <w:p w:rsidR="007C76A2" w:rsidRDefault="007C76A2">
      <w:pPr>
        <w:ind w:firstLine="360"/>
      </w:pPr>
      <w:r>
        <w:t>Комплексная контрольная работа</w:t>
      </w:r>
    </w:p>
    <w:p w:rsidR="007C76A2" w:rsidRDefault="007C76A2">
      <w:pPr>
        <w:ind w:firstLine="360"/>
      </w:pPr>
      <w:r>
        <w:t>Устный счет</w:t>
      </w:r>
    </w:p>
    <w:p w:rsidR="007C76A2" w:rsidRDefault="007C76A2">
      <w:pPr>
        <w:ind w:firstLine="360"/>
      </w:pPr>
      <w:r>
        <w:t>Графические работы</w:t>
      </w:r>
    </w:p>
    <w:p w:rsidR="007C76A2" w:rsidRDefault="007C76A2">
      <w:pPr>
        <w:ind w:firstLine="360"/>
      </w:pPr>
      <w:r>
        <w:t>Работа над ошибками.</w:t>
      </w:r>
    </w:p>
    <w:p w:rsidR="007C76A2" w:rsidRDefault="007C76A2">
      <w:pPr>
        <w:ind w:firstLine="360"/>
      </w:pPr>
      <w:r>
        <w:t>Допускается использование нескольких видов работ на одном уроке.</w:t>
      </w:r>
    </w:p>
    <w:p w:rsidR="007C76A2" w:rsidRDefault="007C76A2">
      <w:pPr>
        <w:ind w:firstLine="480"/>
        <w:jc w:val="both"/>
      </w:pPr>
      <w:r>
        <w:t xml:space="preserve">2.6.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7C76A2" w:rsidRDefault="007C76A2">
      <w:pPr>
        <w:ind w:firstLine="480"/>
        <w:jc w:val="both"/>
      </w:pPr>
      <w:r>
        <w:t>2.7. Результаты текущего контроля фиксируются в документах (классных журналах и иных установленных документах).</w:t>
      </w:r>
    </w:p>
    <w:p w:rsidR="007C76A2" w:rsidRDefault="007C76A2">
      <w:pPr>
        <w:ind w:firstLine="480"/>
        <w:jc w:val="both"/>
      </w:pPr>
      <w:r>
        <w:t xml:space="preserve">2.8.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w:t>
      </w:r>
    </w:p>
    <w:p w:rsidR="007C76A2" w:rsidRDefault="007C76A2">
      <w:pPr>
        <w:ind w:firstLine="480"/>
        <w:jc w:val="both"/>
      </w:pPr>
      <w:r>
        <w:t>2.9.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7C76A2" w:rsidRDefault="007C76A2">
      <w:pPr>
        <w:ind w:firstLine="480"/>
        <w:jc w:val="both"/>
      </w:pPr>
    </w:p>
    <w:p w:rsidR="007C76A2" w:rsidRDefault="007C76A2">
      <w:pPr>
        <w:ind w:firstLine="480"/>
        <w:jc w:val="both"/>
      </w:pPr>
      <w:r>
        <w:t> </w:t>
      </w:r>
    </w:p>
    <w:p w:rsidR="007C76A2" w:rsidRDefault="007C76A2">
      <w:pPr>
        <w:numPr>
          <w:ilvl w:val="0"/>
          <w:numId w:val="1"/>
        </w:numPr>
        <w:ind w:left="0" w:firstLine="0"/>
        <w:contextualSpacing/>
        <w:jc w:val="center"/>
        <w:rPr>
          <w:b/>
        </w:rPr>
      </w:pPr>
      <w:r>
        <w:rPr>
          <w:b/>
        </w:rPr>
        <w:t>Содержание, и порядок проведения промежуточной аттестации</w:t>
      </w:r>
    </w:p>
    <w:p w:rsidR="007C76A2" w:rsidRDefault="007C76A2">
      <w:pPr>
        <w:ind w:firstLine="480"/>
        <w:jc w:val="center"/>
      </w:pPr>
    </w:p>
    <w:p w:rsidR="007C76A2" w:rsidRDefault="007C76A2">
      <w:pPr>
        <w:ind w:firstLine="480"/>
        <w:jc w:val="both"/>
      </w:pPr>
      <w:r>
        <w:t>3.1. Целями проведения промежуточной аттестации являются:</w:t>
      </w:r>
    </w:p>
    <w:p w:rsidR="007C76A2" w:rsidRDefault="007C76A2">
      <w:pPr>
        <w:ind w:firstLine="480"/>
        <w:jc w:val="both"/>
      </w:pPr>
      <w: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7C76A2" w:rsidRDefault="007C76A2">
      <w:pPr>
        <w:ind w:firstLine="480"/>
        <w:jc w:val="both"/>
      </w:pPr>
      <w:r>
        <w:t>- соотнесение этого уровня с требованиями ФГОС;</w:t>
      </w:r>
    </w:p>
    <w:p w:rsidR="007C76A2" w:rsidRDefault="007C76A2">
      <w:pPr>
        <w:ind w:firstLine="480"/>
        <w:jc w:val="both"/>
      </w:pPr>
      <w: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C76A2" w:rsidRDefault="007C76A2">
      <w:pPr>
        <w:ind w:firstLine="480"/>
        <w:jc w:val="both"/>
      </w:pPr>
      <w: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C76A2" w:rsidRDefault="007C76A2">
      <w:pPr>
        <w:ind w:firstLine="426"/>
        <w:jc w:val="both"/>
      </w:pPr>
      <w:r>
        <w:t xml:space="preserve">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7C76A2" w:rsidRDefault="007C76A2">
      <w:pPr>
        <w:ind w:firstLine="480"/>
        <w:jc w:val="both"/>
      </w:pPr>
      <w:r>
        <w:t>3.3. Формами промежуточной аттестации являются:</w:t>
      </w:r>
    </w:p>
    <w:p w:rsidR="007C76A2" w:rsidRDefault="007C76A2">
      <w:pPr>
        <w:ind w:firstLine="480"/>
        <w:jc w:val="both"/>
      </w:pPr>
      <w:r>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7C76A2" w:rsidRDefault="007C76A2">
      <w:pPr>
        <w:ind w:firstLine="480"/>
        <w:jc w:val="both"/>
      </w:pPr>
      <w:r>
        <w:t>- устная проверка – устный ответ учащегося на один или систему вопросов в форме ответа на билеты,  беседы, собеседования и другое;</w:t>
      </w:r>
    </w:p>
    <w:p w:rsidR="007C76A2" w:rsidRDefault="007C76A2">
      <w:pPr>
        <w:ind w:firstLine="480"/>
        <w:jc w:val="both"/>
      </w:pPr>
      <w:r>
        <w:t>- комбинированная проверка - сочетание письменных и устных форм проверок.</w:t>
      </w:r>
    </w:p>
    <w:p w:rsidR="007C76A2" w:rsidRDefault="007C76A2">
      <w:pPr>
        <w:ind w:firstLine="480"/>
        <w:jc w:val="both"/>
      </w:pPr>
      <w:r>
        <w:t xml:space="preserve">Иные формы промежуточной аттестации могут предусматриваться образовательной программой. </w:t>
      </w:r>
    </w:p>
    <w:p w:rsidR="007C76A2" w:rsidRDefault="007C76A2">
      <w:pPr>
        <w:ind w:firstLine="480"/>
        <w:jc w:val="both"/>
      </w:pPr>
      <w: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7C76A2" w:rsidRDefault="007C76A2">
      <w:pPr>
        <w:ind w:firstLine="480"/>
        <w:jc w:val="both"/>
      </w:pPr>
      <w: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7C76A2" w:rsidRDefault="007C76A2">
      <w:pPr>
        <w:ind w:firstLine="480"/>
        <w:jc w:val="both"/>
      </w:pPr>
      <w: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7C76A2" w:rsidRDefault="007C76A2">
      <w:pPr>
        <w:ind w:firstLine="480"/>
        <w:jc w:val="both"/>
      </w:pPr>
      <w:r>
        <w:t>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7C76A2" w:rsidRDefault="007C76A2">
      <w:pPr>
        <w:ind w:firstLine="480"/>
        <w:jc w:val="both"/>
      </w:pPr>
      <w: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r>
        <w:t></w:t>
      </w:r>
    </w:p>
    <w:p w:rsidR="007C76A2" w:rsidRDefault="007C76A2">
      <w:pPr>
        <w:ind w:firstLine="480"/>
        <w:jc w:val="both"/>
      </w:pPr>
      <w:r>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7C76A2" w:rsidRDefault="007C76A2">
      <w:r>
        <w:t xml:space="preserve">        -       отъезжающих на постоянное место жительства за рубеж;</w:t>
      </w:r>
    </w:p>
    <w:p w:rsidR="007C76A2" w:rsidRDefault="007C76A2">
      <w:pPr>
        <w:ind w:firstLine="480"/>
        <w:jc w:val="both"/>
      </w:pPr>
      <w:r>
        <w:t xml:space="preserve">– для иных учащихся по решению педагогического совета. </w:t>
      </w:r>
    </w:p>
    <w:p w:rsidR="007C76A2" w:rsidRDefault="007C76A2">
      <w:pPr>
        <w:ind w:firstLine="426"/>
        <w:jc w:val="both"/>
      </w:pPr>
      <w: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7C76A2" w:rsidRDefault="007C76A2">
      <w:pPr>
        <w:ind w:firstLine="480"/>
        <w:jc w:val="both"/>
      </w:pPr>
      <w:r>
        <w:t>3.9 Итоги промежуточной аттестации обсуждаются на заседаниях методических объединений и педагогического совета Организации.</w:t>
      </w:r>
    </w:p>
    <w:p w:rsidR="007C76A2" w:rsidRDefault="007C76A2">
      <w:pPr>
        <w:ind w:firstLine="480"/>
        <w:jc w:val="both"/>
      </w:pPr>
      <w:r>
        <w:t> </w:t>
      </w:r>
    </w:p>
    <w:p w:rsidR="007C76A2" w:rsidRDefault="007C76A2">
      <w:pPr>
        <w:ind w:firstLine="480"/>
        <w:jc w:val="center"/>
        <w:rPr>
          <w:b/>
        </w:rPr>
      </w:pPr>
      <w:r>
        <w:rPr>
          <w:b/>
        </w:rPr>
        <w:t>4. Порядок перевода учащихся в следующий класс</w:t>
      </w:r>
    </w:p>
    <w:p w:rsidR="007C76A2" w:rsidRDefault="007C76A2">
      <w:pPr>
        <w:ind w:firstLine="480"/>
        <w:jc w:val="center"/>
      </w:pPr>
    </w:p>
    <w:p w:rsidR="007C76A2" w:rsidRDefault="007C76A2">
      <w:pPr>
        <w:ind w:firstLine="480"/>
        <w:jc w:val="both"/>
      </w:pPr>
      <w:r>
        <w:t> 4.1. Учащиеся, освоившие в полном объёме соответствующую часть образовательной программы, переводятся в следующий класс.</w:t>
      </w:r>
    </w:p>
    <w:p w:rsidR="007C76A2" w:rsidRDefault="007C76A2">
      <w:pPr>
        <w:ind w:firstLine="480"/>
        <w:jc w:val="both"/>
      </w:pPr>
      <w: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7C76A2" w:rsidRDefault="007C76A2">
      <w:pPr>
        <w:ind w:firstLine="480"/>
        <w:jc w:val="both"/>
      </w:pPr>
      <w:r>
        <w:t>4.3. Учащиеся обязаны ликвидировать академическую задолженность.</w:t>
      </w:r>
    </w:p>
    <w:p w:rsidR="007C76A2" w:rsidRDefault="007C76A2">
      <w:pPr>
        <w:ind w:firstLine="480"/>
        <w:jc w:val="both"/>
      </w:pPr>
      <w:r>
        <w:t>4.4. Организация создает  условия учащемуся для ликвидации академической задолженности и обеспечивает контроль за своевременностью ее ликвидации.</w:t>
      </w:r>
    </w:p>
    <w:p w:rsidR="007C76A2" w:rsidRDefault="007C76A2">
      <w:pPr>
        <w:ind w:firstLine="480"/>
        <w:jc w:val="both"/>
      </w:pPr>
      <w: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7C76A2" w:rsidRDefault="007C76A2">
      <w:pPr>
        <w:ind w:firstLine="480"/>
        <w:jc w:val="both"/>
      </w:pPr>
      <w:r>
        <w:t xml:space="preserve">Учащиеся обязаны ликвидировать академическую задолженность в течение месяца с момента ее возникновения. В указанный срок не включается время каникул. </w:t>
      </w:r>
    </w:p>
    <w:p w:rsidR="007C76A2" w:rsidRDefault="007C76A2">
      <w:pPr>
        <w:ind w:firstLine="480"/>
        <w:jc w:val="both"/>
      </w:pPr>
      <w:r>
        <w:t xml:space="preserve">4.6. Для проведения промежуточной аттестации при ликвидации академической задолженности во второй раз Организацией создается комиссия. </w:t>
      </w:r>
    </w:p>
    <w:p w:rsidR="007C76A2" w:rsidRDefault="007C76A2">
      <w:pPr>
        <w:ind w:firstLine="480"/>
        <w:jc w:val="both"/>
      </w:pPr>
      <w:r>
        <w:t>4.7. Не допускается взимание платы с учащихся за прохождение промежуточной аттестации.</w:t>
      </w:r>
    </w:p>
    <w:p w:rsidR="007C76A2" w:rsidRDefault="007C76A2">
      <w:pPr>
        <w:ind w:firstLine="480"/>
        <w:jc w:val="both"/>
      </w:pPr>
      <w: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7C76A2" w:rsidRDefault="007C76A2">
      <w:pPr>
        <w:ind w:firstLine="480"/>
        <w:jc w:val="both"/>
      </w:pPr>
      <w:r>
        <w:t>4.9. 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C76A2" w:rsidRDefault="007C76A2">
      <w:pPr>
        <w:ind w:firstLine="480"/>
        <w:jc w:val="both"/>
      </w:pPr>
      <w: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7C76A2" w:rsidRDefault="007C76A2">
      <w:pPr>
        <w:ind w:firstLine="480"/>
        <w:jc w:val="both"/>
      </w:pPr>
    </w:p>
    <w:p w:rsidR="007C76A2" w:rsidRDefault="007C76A2">
      <w:pPr>
        <w:numPr>
          <w:ilvl w:val="0"/>
          <w:numId w:val="2"/>
        </w:numPr>
        <w:ind w:left="0" w:firstLine="0"/>
        <w:contextualSpacing/>
        <w:jc w:val="both"/>
        <w:rPr>
          <w:b/>
        </w:rPr>
      </w:pPr>
      <w:r>
        <w:rPr>
          <w:b/>
        </w:rPr>
        <w:t>Особенности проведения промежуточной аттестации экстернов</w:t>
      </w:r>
    </w:p>
    <w:p w:rsidR="007C76A2" w:rsidRDefault="007C76A2">
      <w:pPr>
        <w:contextualSpacing/>
        <w:jc w:val="both"/>
        <w:rPr>
          <w:b/>
          <w:highlight w:val="yellow"/>
        </w:rPr>
      </w:pPr>
    </w:p>
    <w:p w:rsidR="007C76A2" w:rsidRDefault="007C76A2">
      <w:pPr>
        <w:ind w:firstLine="480"/>
        <w:jc w:val="both"/>
      </w:pPr>
      <w: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C76A2" w:rsidRDefault="007C76A2">
      <w:pPr>
        <w:ind w:firstLine="480"/>
        <w:jc w:val="both"/>
      </w:pPr>
      <w: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7C76A2" w:rsidRDefault="007C76A2">
      <w:pPr>
        <w:ind w:firstLine="480"/>
        <w:jc w:val="both"/>
      </w:pPr>
      <w: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7C76A2" w:rsidRDefault="007C76A2">
      <w:pPr>
        <w:ind w:firstLine="480"/>
        <w:jc w:val="both"/>
      </w:pPr>
      <w:r>
        <w:t xml:space="preserve">5.4. Гражданин, желающий пройти промежуточную аттестацию (его законные представители) должен подать заявление о зачислении его экстерном в МКОУ «Краснослободская СОШ» не позднее, чем за две недели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7C76A2" w:rsidRDefault="007C76A2">
      <w:pPr>
        <w:rPr>
          <w:b/>
        </w:rPr>
      </w:pPr>
    </w:p>
    <w:p w:rsidR="007C76A2" w:rsidRDefault="007C76A2">
      <w:pPr>
        <w:ind w:left="-720" w:firstLine="480"/>
        <w:jc w:val="both"/>
      </w:pPr>
    </w:p>
    <w:tbl>
      <w:tblPr>
        <w:tblOverlap w:val="never"/>
        <w:tblW w:w="6000" w:type="dxa"/>
        <w:jc w:val="center"/>
        <w:tblBorders>
          <w:top w:val="single" w:sz="16" w:space="0" w:color="000000"/>
          <w:left w:val="single" w:sz="16" w:space="0" w:color="000000"/>
          <w:bottom w:val="single" w:sz="16" w:space="0" w:color="000000"/>
          <w:right w:val="single" w:sz="16" w:space="0" w:color="000000"/>
        </w:tblBorders>
        <w:tblCellMar>
          <w:left w:w="150" w:type="dxa"/>
          <w:right w:w="150" w:type="dxa"/>
        </w:tblCellMar>
        <w:tblLook w:val="00A0"/>
      </w:tblPr>
      <w:tblGrid>
        <w:gridCol w:w="3572"/>
        <w:gridCol w:w="5194"/>
        <w:gridCol w:w="866"/>
      </w:tblGrid>
      <w:tr w:rsidR="007C76A2" w:rsidTr="000652F0">
        <w:trPr>
          <w:gridAfter w:val="1"/>
          <w:jc w:val="center"/>
        </w:trPr>
        <w:tc>
          <w:tcPr>
            <w:tcW w:w="0" w:type="auto"/>
            <w:gridSpan w:val="2"/>
            <w:tcBorders>
              <w:top w:val="single" w:sz="16" w:space="0" w:color="000000"/>
            </w:tcBorders>
            <w:tcMar>
              <w:top w:w="150" w:type="dxa"/>
              <w:left w:w="350" w:type="dxa"/>
              <w:bottom w:w="0" w:type="dxa"/>
              <w:right w:w="350" w:type="dxa"/>
            </w:tcMar>
          </w:tcPr>
          <w:p w:rsidR="007C76A2" w:rsidRPr="000652F0" w:rsidRDefault="007C76A2" w:rsidP="000652F0">
            <w:pPr>
              <w:jc w:val="center"/>
              <w:rPr>
                <w:b/>
                <w:bCs/>
                <w:sz w:val="36"/>
                <w:szCs w:val="36"/>
              </w:rPr>
            </w:pPr>
            <w:r w:rsidRPr="000652F0">
              <w:rPr>
                <w:b/>
                <w:bCs/>
                <w:sz w:val="36"/>
                <w:szCs w:val="36"/>
              </w:rPr>
              <w:t>ДОКУМЕНТ ПОДПИСАН ЭЛЕКТРОННОЙ ПОДПИСЬЮ</w:t>
            </w:r>
          </w:p>
        </w:tc>
      </w:tr>
      <w:tr w:rsidR="007C76A2" w:rsidTr="000652F0">
        <w:trPr>
          <w:gridAfter w:val="1"/>
          <w:jc w:val="center"/>
        </w:trPr>
        <w:tc>
          <w:tcPr>
            <w:tcW w:w="0" w:type="auto"/>
            <w:gridSpan w:val="2"/>
            <w:tcMar>
              <w:left w:w="0" w:type="dxa"/>
              <w:bottom w:w="150" w:type="dxa"/>
              <w:right w:w="0" w:type="dxa"/>
            </w:tcMar>
          </w:tcPr>
          <w:p w:rsidR="007C76A2" w:rsidRPr="000652F0" w:rsidRDefault="007C76A2" w:rsidP="000652F0">
            <w:pPr>
              <w:shd w:val="clear" w:color="auto" w:fill="000000"/>
              <w:spacing w:before="50" w:after="50"/>
              <w:jc w:val="center"/>
              <w:rPr>
                <w:b/>
                <w:bCs/>
                <w:color w:val="FFFFFF"/>
              </w:rPr>
            </w:pPr>
            <w:r w:rsidRPr="000652F0">
              <w:rPr>
                <w:b/>
                <w:bCs/>
                <w:color w:val="FFFFFF"/>
              </w:rPr>
              <w:t>СВЕДЕНИЯ О СЕРТИФИКАТЕ ЭП</w:t>
            </w:r>
          </w:p>
        </w:tc>
      </w:tr>
      <w:tr w:rsidR="007C76A2" w:rsidTr="000652F0">
        <w:trPr>
          <w:jc w:val="center"/>
        </w:trPr>
        <w:tc>
          <w:tcPr>
            <w:tcW w:w="0" w:type="auto"/>
          </w:tcPr>
          <w:p w:rsidR="007C76A2" w:rsidRDefault="007C76A2">
            <w:r>
              <w:t>Сертификат</w:t>
            </w:r>
          </w:p>
        </w:tc>
        <w:tc>
          <w:tcPr>
            <w:tcW w:w="0" w:type="auto"/>
            <w:gridSpan w:val="2"/>
          </w:tcPr>
          <w:p w:rsidR="007C76A2" w:rsidRDefault="007C76A2">
            <w:r>
              <w:t>592268602073746744239473766369558630346618555900</w:t>
            </w:r>
          </w:p>
        </w:tc>
      </w:tr>
      <w:tr w:rsidR="007C76A2" w:rsidTr="000652F0">
        <w:trPr>
          <w:jc w:val="center"/>
        </w:trPr>
        <w:tc>
          <w:tcPr>
            <w:tcW w:w="0" w:type="auto"/>
          </w:tcPr>
          <w:p w:rsidR="007C76A2" w:rsidRDefault="007C76A2">
            <w:r>
              <w:t>Владелец</w:t>
            </w:r>
          </w:p>
        </w:tc>
        <w:tc>
          <w:tcPr>
            <w:tcW w:w="0" w:type="auto"/>
            <w:gridSpan w:val="2"/>
          </w:tcPr>
          <w:p w:rsidR="007C76A2" w:rsidRDefault="007C76A2">
            <w:r>
              <w:t>Зотова Татьяна Валерьевна</w:t>
            </w:r>
          </w:p>
        </w:tc>
      </w:tr>
      <w:tr w:rsidR="007C76A2" w:rsidTr="000652F0">
        <w:trPr>
          <w:jc w:val="center"/>
        </w:trPr>
        <w:tc>
          <w:tcPr>
            <w:tcW w:w="0" w:type="auto"/>
            <w:tcBorders>
              <w:bottom w:val="single" w:sz="16" w:space="0" w:color="000000"/>
            </w:tcBorders>
          </w:tcPr>
          <w:p w:rsidR="007C76A2" w:rsidRDefault="007C76A2">
            <w:r>
              <w:t>Действителен</w:t>
            </w:r>
          </w:p>
        </w:tc>
        <w:tc>
          <w:tcPr>
            <w:tcW w:w="0" w:type="auto"/>
            <w:gridSpan w:val="2"/>
            <w:tcBorders>
              <w:bottom w:val="single" w:sz="16" w:space="0" w:color="000000"/>
            </w:tcBorders>
          </w:tcPr>
          <w:p w:rsidR="007C76A2" w:rsidRDefault="007C76A2">
            <w:r>
              <w:t>С 17.02.2025 по 17.02.2026</w:t>
            </w:r>
          </w:p>
        </w:tc>
      </w:tr>
    </w:tbl>
    <w:p w:rsidR="007C76A2" w:rsidRDefault="007C76A2"/>
    <w:sectPr w:rsidR="007C76A2" w:rsidSect="00451204">
      <w:pgSz w:w="11906" w:h="16838"/>
      <w:pgMar w:top="993" w:right="850" w:bottom="709"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B60"/>
    <w:multiLevelType w:val="multilevel"/>
    <w:tmpl w:val="FFFFFFFF"/>
    <w:lvl w:ilvl="0">
      <w:start w:val="1"/>
      <w:numFmt w:val="decimal"/>
      <w:lvlText w:val="%1."/>
      <w:lvlJc w:val="left"/>
      <w:pPr>
        <w:ind w:left="840" w:hanging="360"/>
      </w:pPr>
      <w:rPr>
        <w:rFonts w:cs="Times New Roman"/>
      </w:rPr>
    </w:lvl>
    <w:lvl w:ilvl="1">
      <w:start w:val="1"/>
      <w:numFmt w:val="decimal"/>
      <w:lvlText w:val="%1.%2."/>
      <w:lvlJc w:val="left"/>
      <w:pPr>
        <w:ind w:left="900" w:hanging="420"/>
      </w:pPr>
      <w:rPr>
        <w:rFonts w:cs="Times New Roman"/>
      </w:rPr>
    </w:lvl>
    <w:lvl w:ilvl="2">
      <w:start w:val="1"/>
      <w:numFmt w:val="decimal"/>
      <w:lvlText w:val="%1.%2.%3."/>
      <w:lvlJc w:val="left"/>
      <w:pPr>
        <w:ind w:left="1200" w:hanging="720"/>
      </w:pPr>
      <w:rPr>
        <w:rFonts w:cs="Times New Roman"/>
      </w:rPr>
    </w:lvl>
    <w:lvl w:ilvl="3">
      <w:start w:val="1"/>
      <w:numFmt w:val="decimal"/>
      <w:lvlText w:val="%1.%2.%3.%4."/>
      <w:lvlJc w:val="left"/>
      <w:pPr>
        <w:ind w:left="1200" w:hanging="720"/>
      </w:pPr>
      <w:rPr>
        <w:rFonts w:cs="Times New Roman"/>
      </w:rPr>
    </w:lvl>
    <w:lvl w:ilvl="4">
      <w:start w:val="1"/>
      <w:numFmt w:val="decimal"/>
      <w:lvlText w:val="%1.%2.%3.%4.%5."/>
      <w:lvlJc w:val="left"/>
      <w:pPr>
        <w:ind w:left="1560" w:hanging="1080"/>
      </w:pPr>
      <w:rPr>
        <w:rFonts w:cs="Times New Roman"/>
      </w:rPr>
    </w:lvl>
    <w:lvl w:ilvl="5">
      <w:start w:val="1"/>
      <w:numFmt w:val="decimal"/>
      <w:lvlText w:val="%1.%2.%3.%4.%5.%6."/>
      <w:lvlJc w:val="left"/>
      <w:pPr>
        <w:ind w:left="1560" w:hanging="1080"/>
      </w:pPr>
      <w:rPr>
        <w:rFonts w:cs="Times New Roman"/>
      </w:rPr>
    </w:lvl>
    <w:lvl w:ilvl="6">
      <w:start w:val="1"/>
      <w:numFmt w:val="decimal"/>
      <w:lvlText w:val="%1.%2.%3.%4.%5.%6.%7."/>
      <w:lvlJc w:val="left"/>
      <w:pPr>
        <w:ind w:left="1920" w:hanging="1440"/>
      </w:pPr>
      <w:rPr>
        <w:rFonts w:cs="Times New Roman"/>
      </w:rPr>
    </w:lvl>
    <w:lvl w:ilvl="7">
      <w:start w:val="1"/>
      <w:numFmt w:val="decimal"/>
      <w:lvlText w:val="%1.%2.%3.%4.%5.%6.%7.%8."/>
      <w:lvlJc w:val="left"/>
      <w:pPr>
        <w:ind w:left="1920" w:hanging="1440"/>
      </w:pPr>
      <w:rPr>
        <w:rFonts w:cs="Times New Roman"/>
      </w:rPr>
    </w:lvl>
    <w:lvl w:ilvl="8">
      <w:start w:val="1"/>
      <w:numFmt w:val="decimal"/>
      <w:lvlText w:val="%1.%2.%3.%4.%5.%6.%7.%8.%9."/>
      <w:lvlJc w:val="left"/>
      <w:pPr>
        <w:ind w:left="2280" w:hanging="1800"/>
      </w:pPr>
      <w:rPr>
        <w:rFonts w:cs="Times New Roman"/>
      </w:rPr>
    </w:lvl>
  </w:abstractNum>
  <w:abstractNum w:abstractNumId="1">
    <w:nsid w:val="677E1164"/>
    <w:multiLevelType w:val="hybridMultilevel"/>
    <w:tmpl w:val="FFFFFFFF"/>
    <w:lvl w:ilvl="0" w:tplc="75056052">
      <w:start w:val="1"/>
      <w:numFmt w:val="decimal"/>
      <w:lvlText w:val="%1."/>
      <w:lvlJc w:val="left"/>
      <w:pPr>
        <w:ind w:left="720" w:hanging="360"/>
      </w:pPr>
      <w:rPr>
        <w:rFonts w:cs="Times New Roman"/>
      </w:rPr>
    </w:lvl>
    <w:lvl w:ilvl="1" w:tplc="75056052" w:tentative="1">
      <w:start w:val="1"/>
      <w:numFmt w:val="lowerLetter"/>
      <w:lvlText w:val="%2."/>
      <w:lvlJc w:val="left"/>
      <w:pPr>
        <w:ind w:left="1440" w:hanging="360"/>
      </w:pPr>
      <w:rPr>
        <w:rFonts w:cs="Times New Roman"/>
      </w:rPr>
    </w:lvl>
    <w:lvl w:ilvl="2" w:tplc="75056052" w:tentative="1">
      <w:start w:val="1"/>
      <w:numFmt w:val="lowerRoman"/>
      <w:lvlText w:val="%3."/>
      <w:lvlJc w:val="right"/>
      <w:pPr>
        <w:ind w:left="2160" w:hanging="180"/>
      </w:pPr>
      <w:rPr>
        <w:rFonts w:cs="Times New Roman"/>
      </w:rPr>
    </w:lvl>
    <w:lvl w:ilvl="3" w:tplc="75056052" w:tentative="1">
      <w:start w:val="1"/>
      <w:numFmt w:val="decimal"/>
      <w:lvlText w:val="%4."/>
      <w:lvlJc w:val="left"/>
      <w:pPr>
        <w:ind w:left="2880" w:hanging="360"/>
      </w:pPr>
      <w:rPr>
        <w:rFonts w:cs="Times New Roman"/>
      </w:rPr>
    </w:lvl>
    <w:lvl w:ilvl="4" w:tplc="75056052" w:tentative="1">
      <w:start w:val="1"/>
      <w:numFmt w:val="lowerLetter"/>
      <w:lvlText w:val="%5."/>
      <w:lvlJc w:val="left"/>
      <w:pPr>
        <w:ind w:left="3600" w:hanging="360"/>
      </w:pPr>
      <w:rPr>
        <w:rFonts w:cs="Times New Roman"/>
      </w:rPr>
    </w:lvl>
    <w:lvl w:ilvl="5" w:tplc="75056052" w:tentative="1">
      <w:start w:val="1"/>
      <w:numFmt w:val="lowerRoman"/>
      <w:lvlText w:val="%6."/>
      <w:lvlJc w:val="right"/>
      <w:pPr>
        <w:ind w:left="4320" w:hanging="180"/>
      </w:pPr>
      <w:rPr>
        <w:rFonts w:cs="Times New Roman"/>
      </w:rPr>
    </w:lvl>
    <w:lvl w:ilvl="6" w:tplc="75056052" w:tentative="1">
      <w:start w:val="1"/>
      <w:numFmt w:val="decimal"/>
      <w:lvlText w:val="%7."/>
      <w:lvlJc w:val="left"/>
      <w:pPr>
        <w:ind w:left="5040" w:hanging="360"/>
      </w:pPr>
      <w:rPr>
        <w:rFonts w:cs="Times New Roman"/>
      </w:rPr>
    </w:lvl>
    <w:lvl w:ilvl="7" w:tplc="75056052" w:tentative="1">
      <w:start w:val="1"/>
      <w:numFmt w:val="lowerLetter"/>
      <w:lvlText w:val="%8."/>
      <w:lvlJc w:val="left"/>
      <w:pPr>
        <w:ind w:left="5760" w:hanging="360"/>
      </w:pPr>
      <w:rPr>
        <w:rFonts w:cs="Times New Roman"/>
      </w:rPr>
    </w:lvl>
    <w:lvl w:ilvl="8" w:tplc="75056052" w:tentative="1">
      <w:start w:val="1"/>
      <w:numFmt w:val="lowerRoman"/>
      <w:lvlText w:val="%9."/>
      <w:lvlJc w:val="right"/>
      <w:pPr>
        <w:ind w:left="6480" w:hanging="180"/>
      </w:pPr>
      <w:rPr>
        <w:rFonts w:cs="Times New Roman"/>
      </w:rPr>
    </w:lvl>
  </w:abstractNum>
  <w:abstractNum w:abstractNumId="2">
    <w:nsid w:val="70FD6175"/>
    <w:multiLevelType w:val="multilevel"/>
    <w:tmpl w:val="FFFFFFFF"/>
    <w:lvl w:ilvl="0">
      <w:start w:val="5"/>
      <w:numFmt w:val="decimal"/>
      <w:lvlText w:val="%1."/>
      <w:lvlJc w:val="left"/>
      <w:pPr>
        <w:ind w:left="120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nsid w:val="78965821"/>
    <w:multiLevelType w:val="hybridMultilevel"/>
    <w:tmpl w:val="FFFFFFFF"/>
    <w:lvl w:ilvl="0" w:tplc="67644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204"/>
    <w:rsid w:val="000652F0"/>
    <w:rsid w:val="00451204"/>
    <w:rsid w:val="0059011A"/>
    <w:rsid w:val="007C76A2"/>
    <w:rsid w:val="00F003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04"/>
    <w:rPr>
      <w:color w:val="000000"/>
      <w:sz w:val="24"/>
      <w:szCs w:val="20"/>
    </w:rPr>
  </w:style>
  <w:style w:type="paragraph" w:styleId="Heading1">
    <w:name w:val="heading 1"/>
    <w:basedOn w:val="Normal"/>
    <w:next w:val="Normal"/>
    <w:link w:val="Heading1Char"/>
    <w:uiPriority w:val="99"/>
    <w:qFormat/>
    <w:rsid w:val="00451204"/>
    <w:pPr>
      <w:spacing w:before="120" w:after="120"/>
      <w:outlineLvl w:val="0"/>
    </w:pPr>
    <w:rPr>
      <w:rFonts w:ascii="XO Thames" w:hAnsi="XO Thames"/>
      <w:b/>
      <w:color w:val="auto"/>
      <w:sz w:val="32"/>
    </w:rPr>
  </w:style>
  <w:style w:type="paragraph" w:styleId="Heading2">
    <w:name w:val="heading 2"/>
    <w:basedOn w:val="Normal"/>
    <w:next w:val="Normal"/>
    <w:link w:val="Heading2Char"/>
    <w:uiPriority w:val="99"/>
    <w:qFormat/>
    <w:rsid w:val="00451204"/>
    <w:pPr>
      <w:spacing w:before="120" w:after="120"/>
      <w:outlineLvl w:val="1"/>
    </w:pPr>
    <w:rPr>
      <w:rFonts w:ascii="XO Thames" w:hAnsi="XO Thames"/>
      <w:b/>
      <w:color w:val="00A0FF"/>
      <w:sz w:val="26"/>
    </w:rPr>
  </w:style>
  <w:style w:type="paragraph" w:styleId="Heading3">
    <w:name w:val="heading 3"/>
    <w:basedOn w:val="Normal"/>
    <w:next w:val="Normal"/>
    <w:link w:val="Heading3Char"/>
    <w:uiPriority w:val="99"/>
    <w:qFormat/>
    <w:rsid w:val="00451204"/>
    <w:pPr>
      <w:outlineLvl w:val="2"/>
    </w:pPr>
    <w:rPr>
      <w:rFonts w:ascii="XO Thames" w:hAnsi="XO Thames"/>
      <w:b/>
      <w:i/>
      <w:sz w:val="20"/>
    </w:rPr>
  </w:style>
  <w:style w:type="paragraph" w:styleId="Heading4">
    <w:name w:val="heading 4"/>
    <w:basedOn w:val="Normal"/>
    <w:next w:val="Normal"/>
    <w:link w:val="Heading4Char"/>
    <w:uiPriority w:val="99"/>
    <w:qFormat/>
    <w:rsid w:val="00451204"/>
    <w:pPr>
      <w:spacing w:before="120" w:after="120"/>
      <w:outlineLvl w:val="3"/>
    </w:pPr>
    <w:rPr>
      <w:rFonts w:ascii="XO Thames" w:hAnsi="XO Thames"/>
      <w:b/>
      <w:color w:val="595959"/>
      <w:sz w:val="26"/>
    </w:rPr>
  </w:style>
  <w:style w:type="paragraph" w:styleId="Heading5">
    <w:name w:val="heading 5"/>
    <w:basedOn w:val="Normal"/>
    <w:next w:val="Normal"/>
    <w:link w:val="Heading5Char"/>
    <w:uiPriority w:val="99"/>
    <w:qFormat/>
    <w:rsid w:val="00451204"/>
    <w:pPr>
      <w:spacing w:before="120" w:after="120"/>
      <w:outlineLvl w:val="4"/>
    </w:pPr>
    <w:rPr>
      <w:rFonts w:ascii="XO Thames" w:hAnsi="XO Thames"/>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1204"/>
    <w:rPr>
      <w:rFonts w:ascii="XO Thames" w:hAnsi="XO Thames"/>
      <w:b/>
      <w:sz w:val="32"/>
    </w:rPr>
  </w:style>
  <w:style w:type="character" w:customStyle="1" w:styleId="Heading2Char">
    <w:name w:val="Heading 2 Char"/>
    <w:basedOn w:val="DefaultParagraphFont"/>
    <w:link w:val="Heading2"/>
    <w:uiPriority w:val="99"/>
    <w:locked/>
    <w:rsid w:val="00451204"/>
    <w:rPr>
      <w:rFonts w:ascii="XO Thames" w:hAnsi="XO Thames"/>
      <w:b/>
      <w:color w:val="00A0FF"/>
      <w:sz w:val="26"/>
    </w:rPr>
  </w:style>
  <w:style w:type="character" w:customStyle="1" w:styleId="Heading3Char">
    <w:name w:val="Heading 3 Char"/>
    <w:basedOn w:val="DefaultParagraphFont"/>
    <w:link w:val="Heading3"/>
    <w:uiPriority w:val="99"/>
    <w:locked/>
    <w:rsid w:val="00451204"/>
    <w:rPr>
      <w:rFonts w:ascii="XO Thames" w:hAnsi="XO Thames"/>
      <w:b/>
      <w:i/>
      <w:color w:val="000000"/>
      <w:lang w:val="ru-RU" w:eastAsia="ru-RU"/>
    </w:rPr>
  </w:style>
  <w:style w:type="character" w:customStyle="1" w:styleId="Heading4Char">
    <w:name w:val="Heading 4 Char"/>
    <w:basedOn w:val="DefaultParagraphFont"/>
    <w:link w:val="Heading4"/>
    <w:uiPriority w:val="99"/>
    <w:locked/>
    <w:rsid w:val="00451204"/>
    <w:rPr>
      <w:rFonts w:ascii="XO Thames" w:hAnsi="XO Thames"/>
      <w:b/>
      <w:color w:val="595959"/>
      <w:sz w:val="26"/>
    </w:rPr>
  </w:style>
  <w:style w:type="character" w:customStyle="1" w:styleId="Heading5Char">
    <w:name w:val="Heading 5 Char"/>
    <w:basedOn w:val="DefaultParagraphFont"/>
    <w:link w:val="Heading5"/>
    <w:uiPriority w:val="99"/>
    <w:locked/>
    <w:rsid w:val="00451204"/>
    <w:rPr>
      <w:rFonts w:ascii="XO Thames" w:hAnsi="XO Thames"/>
      <w:b/>
      <w:color w:val="000000"/>
      <w:sz w:val="22"/>
    </w:rPr>
  </w:style>
  <w:style w:type="character" w:customStyle="1" w:styleId="Normal1">
    <w:name w:val="Normal1"/>
    <w:uiPriority w:val="99"/>
    <w:rsid w:val="00451204"/>
    <w:rPr>
      <w:sz w:val="24"/>
    </w:rPr>
  </w:style>
  <w:style w:type="paragraph" w:styleId="TOC2">
    <w:name w:val="toc 2"/>
    <w:basedOn w:val="Normal"/>
    <w:next w:val="Normal"/>
    <w:link w:val="TOC2Char"/>
    <w:uiPriority w:val="99"/>
    <w:rsid w:val="00451204"/>
    <w:pPr>
      <w:ind w:left="200"/>
    </w:pPr>
    <w:rPr>
      <w:sz w:val="20"/>
    </w:rPr>
  </w:style>
  <w:style w:type="character" w:customStyle="1" w:styleId="TOC2Char">
    <w:name w:val="TOC 2 Char"/>
    <w:link w:val="TOC2"/>
    <w:uiPriority w:val="99"/>
    <w:locked/>
    <w:rsid w:val="00451204"/>
    <w:rPr>
      <w:color w:val="000000"/>
      <w:lang w:val="ru-RU" w:eastAsia="ru-RU"/>
    </w:rPr>
  </w:style>
  <w:style w:type="paragraph" w:customStyle="1" w:styleId="DefaultParagraphFont1">
    <w:name w:val="Default Paragraph Font1"/>
    <w:uiPriority w:val="99"/>
    <w:rsid w:val="00451204"/>
    <w:rPr>
      <w:color w:val="000000"/>
      <w:sz w:val="20"/>
      <w:szCs w:val="20"/>
    </w:rPr>
  </w:style>
  <w:style w:type="paragraph" w:styleId="TOC4">
    <w:name w:val="toc 4"/>
    <w:basedOn w:val="Normal"/>
    <w:next w:val="Normal"/>
    <w:link w:val="TOC4Char"/>
    <w:uiPriority w:val="99"/>
    <w:rsid w:val="00451204"/>
    <w:pPr>
      <w:ind w:left="600"/>
    </w:pPr>
    <w:rPr>
      <w:sz w:val="20"/>
    </w:rPr>
  </w:style>
  <w:style w:type="character" w:customStyle="1" w:styleId="TOC4Char">
    <w:name w:val="TOC 4 Char"/>
    <w:link w:val="TOC4"/>
    <w:uiPriority w:val="99"/>
    <w:locked/>
    <w:rsid w:val="00451204"/>
    <w:rPr>
      <w:color w:val="000000"/>
      <w:lang w:val="ru-RU" w:eastAsia="ru-RU"/>
    </w:rPr>
  </w:style>
  <w:style w:type="paragraph" w:styleId="TOC6">
    <w:name w:val="toc 6"/>
    <w:basedOn w:val="Normal"/>
    <w:next w:val="Normal"/>
    <w:link w:val="TOC6Char"/>
    <w:uiPriority w:val="99"/>
    <w:rsid w:val="00451204"/>
    <w:pPr>
      <w:ind w:left="1000"/>
    </w:pPr>
    <w:rPr>
      <w:sz w:val="20"/>
    </w:rPr>
  </w:style>
  <w:style w:type="character" w:customStyle="1" w:styleId="TOC6Char">
    <w:name w:val="TOC 6 Char"/>
    <w:link w:val="TOC6"/>
    <w:uiPriority w:val="99"/>
    <w:locked/>
    <w:rsid w:val="00451204"/>
    <w:rPr>
      <w:color w:val="000000"/>
      <w:lang w:val="ru-RU" w:eastAsia="ru-RU"/>
    </w:rPr>
  </w:style>
  <w:style w:type="paragraph" w:styleId="TOC7">
    <w:name w:val="toc 7"/>
    <w:basedOn w:val="Normal"/>
    <w:next w:val="Normal"/>
    <w:link w:val="TOC7Char"/>
    <w:uiPriority w:val="99"/>
    <w:rsid w:val="00451204"/>
    <w:pPr>
      <w:ind w:left="1200"/>
    </w:pPr>
    <w:rPr>
      <w:sz w:val="20"/>
    </w:rPr>
  </w:style>
  <w:style w:type="character" w:customStyle="1" w:styleId="TOC7Char">
    <w:name w:val="TOC 7 Char"/>
    <w:link w:val="TOC7"/>
    <w:uiPriority w:val="99"/>
    <w:locked/>
    <w:rsid w:val="00451204"/>
    <w:rPr>
      <w:color w:val="000000"/>
      <w:lang w:val="ru-RU" w:eastAsia="ru-RU"/>
    </w:rPr>
  </w:style>
  <w:style w:type="paragraph" w:styleId="BodyTextIndent">
    <w:name w:val="Body Text Indent"/>
    <w:basedOn w:val="Normal"/>
    <w:link w:val="BodyTextIndentChar"/>
    <w:uiPriority w:val="99"/>
    <w:rsid w:val="00451204"/>
    <w:pPr>
      <w:spacing w:after="120"/>
      <w:ind w:left="283"/>
    </w:pPr>
  </w:style>
  <w:style w:type="character" w:customStyle="1" w:styleId="BodyTextIndentChar">
    <w:name w:val="Body Text Indent Char"/>
    <w:basedOn w:val="Normal1"/>
    <w:link w:val="BodyTextIndent"/>
    <w:uiPriority w:val="99"/>
    <w:locked/>
    <w:rsid w:val="00451204"/>
    <w:rPr>
      <w:rFonts w:cs="Times New Roman"/>
    </w:rPr>
  </w:style>
  <w:style w:type="paragraph" w:styleId="TOC3">
    <w:name w:val="toc 3"/>
    <w:basedOn w:val="Normal"/>
    <w:next w:val="Normal"/>
    <w:link w:val="TOC3Char"/>
    <w:uiPriority w:val="99"/>
    <w:rsid w:val="00451204"/>
    <w:pPr>
      <w:ind w:left="400"/>
    </w:pPr>
    <w:rPr>
      <w:sz w:val="20"/>
    </w:rPr>
  </w:style>
  <w:style w:type="character" w:customStyle="1" w:styleId="TOC3Char">
    <w:name w:val="TOC 3 Char"/>
    <w:link w:val="TOC3"/>
    <w:uiPriority w:val="99"/>
    <w:locked/>
    <w:rsid w:val="00451204"/>
    <w:rPr>
      <w:color w:val="000000"/>
      <w:lang w:val="ru-RU" w:eastAsia="ru-RU"/>
    </w:rPr>
  </w:style>
  <w:style w:type="paragraph" w:styleId="ListParagraph">
    <w:name w:val="List Paragraph"/>
    <w:basedOn w:val="Normal"/>
    <w:link w:val="ListParagraphChar"/>
    <w:uiPriority w:val="99"/>
    <w:qFormat/>
    <w:rsid w:val="00451204"/>
    <w:pPr>
      <w:spacing w:after="200" w:line="276" w:lineRule="auto"/>
      <w:ind w:left="720"/>
      <w:contextualSpacing/>
    </w:pPr>
    <w:rPr>
      <w:rFonts w:ascii="Calibri" w:hAnsi="Calibri"/>
      <w:sz w:val="22"/>
    </w:rPr>
  </w:style>
  <w:style w:type="character" w:customStyle="1" w:styleId="ListParagraphChar">
    <w:name w:val="List Paragraph Char"/>
    <w:basedOn w:val="Normal1"/>
    <w:link w:val="ListParagraph"/>
    <w:uiPriority w:val="99"/>
    <w:locked/>
    <w:rsid w:val="00451204"/>
    <w:rPr>
      <w:rFonts w:ascii="Calibri" w:hAnsi="Calibri" w:cs="Times New Roman"/>
      <w:sz w:val="22"/>
    </w:rPr>
  </w:style>
  <w:style w:type="paragraph" w:customStyle="1" w:styleId="Hyperlink1">
    <w:name w:val="Hyperlink1"/>
    <w:link w:val="Hyperlink"/>
    <w:uiPriority w:val="99"/>
    <w:rsid w:val="00451204"/>
    <w:rPr>
      <w:color w:val="0000FF"/>
      <w:sz w:val="20"/>
      <w:szCs w:val="20"/>
      <w:u w:val="single"/>
    </w:rPr>
  </w:style>
  <w:style w:type="character" w:styleId="Hyperlink">
    <w:name w:val="Hyperlink"/>
    <w:basedOn w:val="DefaultParagraphFont"/>
    <w:link w:val="Hyperlink1"/>
    <w:uiPriority w:val="99"/>
    <w:locked/>
    <w:rsid w:val="00451204"/>
    <w:rPr>
      <w:rFonts w:cs="Times New Roman"/>
      <w:color w:val="0000FF"/>
      <w:u w:val="single"/>
    </w:rPr>
  </w:style>
  <w:style w:type="paragraph" w:customStyle="1" w:styleId="Footnote">
    <w:name w:val="Footnote"/>
    <w:link w:val="Footnote1"/>
    <w:uiPriority w:val="99"/>
    <w:rsid w:val="00451204"/>
    <w:rPr>
      <w:rFonts w:ascii="XO Thames" w:hAnsi="XO Thames"/>
      <w:szCs w:val="20"/>
    </w:rPr>
  </w:style>
  <w:style w:type="character" w:customStyle="1" w:styleId="Footnote1">
    <w:name w:val="Footnote1"/>
    <w:link w:val="Footnote"/>
    <w:uiPriority w:val="99"/>
    <w:locked/>
    <w:rsid w:val="00451204"/>
    <w:rPr>
      <w:rFonts w:ascii="XO Thames" w:hAnsi="XO Thames"/>
      <w:sz w:val="22"/>
    </w:rPr>
  </w:style>
  <w:style w:type="paragraph" w:styleId="TOC1">
    <w:name w:val="toc 1"/>
    <w:basedOn w:val="Normal"/>
    <w:next w:val="Normal"/>
    <w:link w:val="TOC1Char"/>
    <w:uiPriority w:val="99"/>
    <w:rsid w:val="00451204"/>
    <w:rPr>
      <w:rFonts w:ascii="XO Thames" w:hAnsi="XO Thames"/>
      <w:b/>
      <w:sz w:val="20"/>
    </w:rPr>
  </w:style>
  <w:style w:type="character" w:customStyle="1" w:styleId="TOC1Char">
    <w:name w:val="TOC 1 Char"/>
    <w:link w:val="TOC1"/>
    <w:uiPriority w:val="99"/>
    <w:locked/>
    <w:rsid w:val="00451204"/>
    <w:rPr>
      <w:rFonts w:ascii="XO Thames" w:hAnsi="XO Thames"/>
      <w:b/>
      <w:color w:val="000000"/>
      <w:lang w:val="ru-RU" w:eastAsia="ru-RU"/>
    </w:rPr>
  </w:style>
  <w:style w:type="paragraph" w:customStyle="1" w:styleId="HeaderandFooter">
    <w:name w:val="Header and Footer"/>
    <w:link w:val="HeaderandFooter1"/>
    <w:uiPriority w:val="99"/>
    <w:rsid w:val="00451204"/>
    <w:pPr>
      <w:spacing w:line="360" w:lineRule="auto"/>
    </w:pPr>
    <w:rPr>
      <w:rFonts w:ascii="XO Thames" w:hAnsi="XO Thames"/>
      <w:color w:val="000000"/>
      <w:sz w:val="20"/>
      <w:szCs w:val="20"/>
    </w:rPr>
  </w:style>
  <w:style w:type="character" w:customStyle="1" w:styleId="HeaderandFooter1">
    <w:name w:val="Header and Footer1"/>
    <w:link w:val="HeaderandFooter"/>
    <w:uiPriority w:val="99"/>
    <w:locked/>
    <w:rsid w:val="00451204"/>
    <w:rPr>
      <w:rFonts w:ascii="XO Thames" w:hAnsi="XO Thames"/>
      <w:color w:val="000000"/>
      <w:lang w:val="ru-RU" w:eastAsia="ru-RU"/>
    </w:rPr>
  </w:style>
  <w:style w:type="paragraph" w:styleId="TOC9">
    <w:name w:val="toc 9"/>
    <w:basedOn w:val="Normal"/>
    <w:next w:val="Normal"/>
    <w:link w:val="TOC9Char"/>
    <w:uiPriority w:val="99"/>
    <w:rsid w:val="00451204"/>
    <w:pPr>
      <w:ind w:left="1600"/>
    </w:pPr>
    <w:rPr>
      <w:sz w:val="20"/>
    </w:rPr>
  </w:style>
  <w:style w:type="character" w:customStyle="1" w:styleId="TOC9Char">
    <w:name w:val="TOC 9 Char"/>
    <w:link w:val="TOC9"/>
    <w:uiPriority w:val="99"/>
    <w:locked/>
    <w:rsid w:val="00451204"/>
    <w:rPr>
      <w:color w:val="000000"/>
      <w:lang w:val="ru-RU" w:eastAsia="ru-RU"/>
    </w:rPr>
  </w:style>
  <w:style w:type="paragraph" w:styleId="TOC8">
    <w:name w:val="toc 8"/>
    <w:basedOn w:val="Normal"/>
    <w:next w:val="Normal"/>
    <w:link w:val="TOC8Char"/>
    <w:uiPriority w:val="99"/>
    <w:rsid w:val="00451204"/>
    <w:pPr>
      <w:ind w:left="1400"/>
    </w:pPr>
    <w:rPr>
      <w:sz w:val="20"/>
    </w:rPr>
  </w:style>
  <w:style w:type="character" w:customStyle="1" w:styleId="TOC8Char">
    <w:name w:val="TOC 8 Char"/>
    <w:link w:val="TOC8"/>
    <w:uiPriority w:val="99"/>
    <w:locked/>
    <w:rsid w:val="00451204"/>
    <w:rPr>
      <w:color w:val="000000"/>
      <w:lang w:val="ru-RU" w:eastAsia="ru-RU"/>
    </w:rPr>
  </w:style>
  <w:style w:type="paragraph" w:styleId="TOC5">
    <w:name w:val="toc 5"/>
    <w:basedOn w:val="Normal"/>
    <w:next w:val="Normal"/>
    <w:link w:val="TOC5Char"/>
    <w:uiPriority w:val="99"/>
    <w:rsid w:val="00451204"/>
    <w:pPr>
      <w:ind w:left="800"/>
    </w:pPr>
    <w:rPr>
      <w:sz w:val="20"/>
    </w:rPr>
  </w:style>
  <w:style w:type="character" w:customStyle="1" w:styleId="TOC5Char">
    <w:name w:val="TOC 5 Char"/>
    <w:link w:val="TOC5"/>
    <w:uiPriority w:val="99"/>
    <w:locked/>
    <w:rsid w:val="00451204"/>
    <w:rPr>
      <w:color w:val="000000"/>
      <w:lang w:val="ru-RU" w:eastAsia="ru-RU"/>
    </w:rPr>
  </w:style>
  <w:style w:type="paragraph" w:styleId="Subtitle">
    <w:name w:val="Subtitle"/>
    <w:basedOn w:val="Normal"/>
    <w:next w:val="Normal"/>
    <w:link w:val="SubtitleChar"/>
    <w:uiPriority w:val="99"/>
    <w:qFormat/>
    <w:rsid w:val="00451204"/>
    <w:rPr>
      <w:rFonts w:ascii="XO Thames" w:hAnsi="XO Thames"/>
      <w:i/>
      <w:color w:val="616161"/>
    </w:rPr>
  </w:style>
  <w:style w:type="character" w:customStyle="1" w:styleId="SubtitleChar">
    <w:name w:val="Subtitle Char"/>
    <w:basedOn w:val="DefaultParagraphFont"/>
    <w:link w:val="Subtitle"/>
    <w:uiPriority w:val="99"/>
    <w:locked/>
    <w:rsid w:val="00451204"/>
    <w:rPr>
      <w:rFonts w:ascii="XO Thames" w:hAnsi="XO Thames"/>
      <w:i/>
      <w:color w:val="616161"/>
      <w:sz w:val="24"/>
    </w:rPr>
  </w:style>
  <w:style w:type="paragraph" w:customStyle="1" w:styleId="toc10">
    <w:name w:val="toc 10"/>
    <w:next w:val="Normal"/>
    <w:link w:val="toc101"/>
    <w:uiPriority w:val="99"/>
    <w:rsid w:val="00451204"/>
    <w:pPr>
      <w:ind w:left="1800"/>
    </w:pPr>
    <w:rPr>
      <w:color w:val="000000"/>
      <w:sz w:val="20"/>
      <w:szCs w:val="20"/>
    </w:rPr>
  </w:style>
  <w:style w:type="character" w:customStyle="1" w:styleId="toc101">
    <w:name w:val="toc 101"/>
    <w:link w:val="toc10"/>
    <w:uiPriority w:val="99"/>
    <w:locked/>
    <w:rsid w:val="00451204"/>
    <w:rPr>
      <w:color w:val="000000"/>
      <w:lang w:val="ru-RU" w:eastAsia="ru-RU"/>
    </w:rPr>
  </w:style>
  <w:style w:type="paragraph" w:styleId="Title">
    <w:name w:val="Title"/>
    <w:basedOn w:val="Normal"/>
    <w:next w:val="Normal"/>
    <w:link w:val="TitleChar"/>
    <w:uiPriority w:val="99"/>
    <w:qFormat/>
    <w:rsid w:val="00451204"/>
    <w:rPr>
      <w:rFonts w:ascii="XO Thames" w:hAnsi="XO Thames"/>
      <w:b/>
      <w:color w:val="auto"/>
      <w:sz w:val="52"/>
    </w:rPr>
  </w:style>
  <w:style w:type="character" w:customStyle="1" w:styleId="TitleChar">
    <w:name w:val="Title Char"/>
    <w:basedOn w:val="DefaultParagraphFont"/>
    <w:link w:val="Title"/>
    <w:uiPriority w:val="99"/>
    <w:locked/>
    <w:rsid w:val="00451204"/>
    <w:rPr>
      <w:rFonts w:ascii="XO Thames" w:hAnsi="XO Thames"/>
      <w:b/>
      <w:sz w:val="52"/>
    </w:rPr>
  </w:style>
  <w:style w:type="character" w:customStyle="1" w:styleId="DefaultParagraphFontPHPDOCX">
    <w:name w:val="Default Paragraph Font PHPDOCX"/>
    <w:uiPriority w:val="99"/>
    <w:semiHidden/>
    <w:rsid w:val="00451204"/>
  </w:style>
  <w:style w:type="paragraph" w:customStyle="1" w:styleId="ListParagraphPHPDOCX">
    <w:name w:val="List Paragraph PHPDOCX"/>
    <w:uiPriority w:val="99"/>
    <w:pPr>
      <w:ind w:left="720"/>
      <w:contextualSpacing/>
    </w:pPr>
    <w:rPr>
      <w:color w:val="000000"/>
      <w:sz w:val="20"/>
      <w:szCs w:val="20"/>
    </w:rPr>
  </w:style>
  <w:style w:type="paragraph" w:customStyle="1" w:styleId="TitlePHPDOCX">
    <w:name w:val="Title PHPDOCX"/>
    <w:link w:val="TitleCarPHPDOCX"/>
    <w:uiPriority w:val="99"/>
    <w:pPr>
      <w:pBdr>
        <w:bottom w:val="single" w:sz="8" w:space="4" w:color="4F81BD"/>
      </w:pBdr>
      <w:spacing w:after="300"/>
      <w:contextualSpacing/>
    </w:pPr>
    <w:rPr>
      <w:rFonts w:ascii="XO Thames" w:hAnsi="XO Thames"/>
      <w:color w:val="17365D"/>
      <w:spacing w:val="5"/>
      <w:kern w:val="28"/>
      <w:sz w:val="52"/>
      <w:szCs w:val="52"/>
    </w:rPr>
  </w:style>
  <w:style w:type="character" w:customStyle="1" w:styleId="TitleCarPHPDOCX">
    <w:name w:val="Title Car PHPDOCX"/>
    <w:basedOn w:val="DefaultParagraphFontPHPDOCX"/>
    <w:link w:val="TitlePHPDOCX"/>
    <w:uiPriority w:val="99"/>
    <w:locked/>
    <w:rPr>
      <w:rFonts w:ascii="XO Thames" w:hAnsi="XO Thames" w:cs="Times New Roman"/>
      <w:color w:val="17365D"/>
      <w:spacing w:val="5"/>
      <w:kern w:val="28"/>
      <w:sz w:val="52"/>
      <w:szCs w:val="52"/>
      <w:lang w:val="ru-RU" w:eastAsia="ru-RU" w:bidi="ar-SA"/>
    </w:rPr>
  </w:style>
  <w:style w:type="paragraph" w:customStyle="1" w:styleId="SubtitlePHPDOCX">
    <w:name w:val="Subtitle PHPDOCX"/>
    <w:link w:val="SubtitleCarPHPDOCX"/>
    <w:uiPriority w:val="99"/>
    <w:pPr>
      <w:numPr>
        <w:ilvl w:val="1"/>
      </w:numPr>
    </w:pPr>
    <w:rPr>
      <w:rFonts w:ascii="XO Thames" w:hAnsi="XO Thames"/>
      <w:i/>
      <w:iCs/>
      <w:color w:val="4F81BD"/>
      <w:spacing w:val="15"/>
      <w:sz w:val="24"/>
      <w:szCs w:val="24"/>
    </w:rPr>
  </w:style>
  <w:style w:type="character" w:customStyle="1" w:styleId="SubtitleCarPHPDOCX">
    <w:name w:val="Subtitle Car PHPDOCX"/>
    <w:basedOn w:val="DefaultParagraphFontPHPDOCX"/>
    <w:link w:val="SubtitlePHPDOCX"/>
    <w:uiPriority w:val="99"/>
    <w:locked/>
    <w:rPr>
      <w:rFonts w:ascii="XO Thames" w:hAnsi="XO Thames" w:cs="Times New Roman"/>
      <w:i/>
      <w:iCs/>
      <w:color w:val="4F81BD"/>
      <w:spacing w:val="15"/>
      <w:sz w:val="24"/>
      <w:szCs w:val="24"/>
      <w:lang w:val="ru-RU" w:eastAsia="ru-RU" w:bidi="ar-SA"/>
    </w:rPr>
  </w:style>
  <w:style w:type="table" w:customStyle="1" w:styleId="NormalTablePHPDOCX">
    <w:name w:val="Normal Table PHPDOCX"/>
    <w:uiPriority w:val="99"/>
    <w:semiHidden/>
    <w:rsid w:val="00451204"/>
    <w:rPr>
      <w:color w:val="00000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99"/>
    <w:rPr>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rPr>
      <w:rFonts w:cs="Times New Roman"/>
      <w:sz w:val="16"/>
      <w:szCs w:val="16"/>
    </w:rPr>
  </w:style>
  <w:style w:type="paragraph" w:customStyle="1" w:styleId="annotationtextPHPDOCX">
    <w:name w:val="annotation text PHPDOCX"/>
    <w:link w:val="CommentTextCharPHPDOCX"/>
    <w:uiPriority w:val="99"/>
    <w:semiHidden/>
    <w:rPr>
      <w:color w:val="000000"/>
      <w:sz w:val="20"/>
      <w:szCs w:val="20"/>
    </w:rPr>
  </w:style>
  <w:style w:type="character" w:customStyle="1" w:styleId="CommentTextCharPHPDOCX">
    <w:name w:val="Comment Text Char PHPDOCX"/>
    <w:basedOn w:val="DefaultParagraphFontPHPDOCX"/>
    <w:link w:val="annotationtextPHPDOCX"/>
    <w:uiPriority w:val="99"/>
    <w:semiHidden/>
    <w:locked/>
    <w:rPr>
      <w:rFonts w:cs="Times New Roman"/>
      <w:color w:val="000000"/>
      <w:lang w:val="ru-RU" w:eastAsia="ru-RU" w:bidi="ar-SA"/>
    </w:rPr>
  </w:style>
  <w:style w:type="paragraph" w:customStyle="1" w:styleId="annotationsubjectPHPDOCX">
    <w:name w:val="annotation subject PHPDOCX"/>
    <w:basedOn w:val="annotationtextPHPDOCX"/>
    <w:next w:val="annotationtextPHPDOCX"/>
    <w:link w:val="CommentSubjectCharPHPDOCX"/>
    <w:uiPriority w:val="99"/>
    <w:semiHidden/>
    <w:rPr>
      <w:b/>
      <w:bCs/>
    </w:rPr>
  </w:style>
  <w:style w:type="character" w:customStyle="1" w:styleId="CommentSubjectCharPHPDOCX">
    <w:name w:val="Comment Subject Char PHPDOCX"/>
    <w:basedOn w:val="CommentTextCharPHPDOCX"/>
    <w:link w:val="annotationsubjectPHPDOCX"/>
    <w:uiPriority w:val="99"/>
    <w:semiHidden/>
    <w:locked/>
    <w:rPr>
      <w:b/>
      <w:bCs/>
      <w:sz w:val="20"/>
      <w:szCs w:val="20"/>
    </w:rPr>
  </w:style>
  <w:style w:type="paragraph" w:customStyle="1" w:styleId="BalloonTextPHPDOCX">
    <w:name w:val="Balloon Text PHPDOCX"/>
    <w:link w:val="BalloonTextCharPHPDOCX"/>
    <w:uiPriority w:val="99"/>
    <w:semiHidden/>
    <w:rPr>
      <w:rFonts w:ascii="Tahoma" w:hAnsi="Tahoma" w:cs="Tahoma"/>
      <w:color w:val="000000"/>
      <w:sz w:val="16"/>
      <w:szCs w:val="16"/>
    </w:rPr>
  </w:style>
  <w:style w:type="character" w:customStyle="1" w:styleId="BalloonTextCharPHPDOCX">
    <w:name w:val="Balloon Text Char PHPDOCX"/>
    <w:basedOn w:val="DefaultParagraphFontPHPDOCX"/>
    <w:link w:val="BalloonTextPHPDOCX"/>
    <w:uiPriority w:val="99"/>
    <w:semiHidden/>
    <w:locked/>
    <w:rPr>
      <w:rFonts w:ascii="Tahoma" w:hAnsi="Tahoma" w:cs="Tahoma"/>
      <w:color w:val="000000"/>
      <w:sz w:val="16"/>
      <w:szCs w:val="16"/>
      <w:lang w:val="ru-RU" w:eastAsia="ru-RU" w:bidi="ar-SA"/>
    </w:rPr>
  </w:style>
  <w:style w:type="paragraph" w:customStyle="1" w:styleId="footnoteTextPHPDOCX">
    <w:name w:val="footnote Text PHPDOCX"/>
    <w:link w:val="footnoteTextCarPHPDOCX"/>
    <w:uiPriority w:val="99"/>
    <w:semiHidden/>
    <w:rPr>
      <w:color w:val="000000"/>
      <w:sz w:val="20"/>
      <w:szCs w:val="20"/>
    </w:rPr>
  </w:style>
  <w:style w:type="character" w:customStyle="1" w:styleId="footnoteTextCarPHPDOCX">
    <w:name w:val="footnote Text Car PHPDOCX"/>
    <w:basedOn w:val="DefaultParagraphFontPHPDOCX"/>
    <w:link w:val="footnoteTextPHPDOCX"/>
    <w:uiPriority w:val="99"/>
    <w:semiHidden/>
    <w:locked/>
    <w:rPr>
      <w:rFonts w:cs="Times New Roman"/>
      <w:color w:val="000000"/>
      <w:lang w:val="ru-RU" w:eastAsia="ru-RU" w:bidi="ar-SA"/>
    </w:rPr>
  </w:style>
  <w:style w:type="character" w:customStyle="1" w:styleId="footnoteReferencePHPDOCX">
    <w:name w:val="footnote Reference PHPDOCX"/>
    <w:basedOn w:val="DefaultParagraphFontPHPDOCX"/>
    <w:uiPriority w:val="99"/>
    <w:semiHidden/>
    <w:rPr>
      <w:rFonts w:cs="Times New Roman"/>
      <w:vertAlign w:val="superscript"/>
    </w:rPr>
  </w:style>
  <w:style w:type="paragraph" w:customStyle="1" w:styleId="endnoteTextPHPDOCX">
    <w:name w:val="endnote Text PHPDOCX"/>
    <w:link w:val="endnoteTextCarPHPDOCX"/>
    <w:uiPriority w:val="99"/>
    <w:semiHidden/>
    <w:rPr>
      <w:color w:val="000000"/>
      <w:sz w:val="20"/>
      <w:szCs w:val="20"/>
    </w:rPr>
  </w:style>
  <w:style w:type="character" w:customStyle="1" w:styleId="endnoteTextCarPHPDOCX">
    <w:name w:val="endnote Text Car PHPDOCX"/>
    <w:basedOn w:val="DefaultParagraphFontPHPDOCX"/>
    <w:link w:val="endnoteTextPHPDOCX"/>
    <w:uiPriority w:val="99"/>
    <w:semiHidden/>
    <w:locked/>
    <w:rPr>
      <w:rFonts w:cs="Times New Roman"/>
      <w:color w:val="000000"/>
      <w:lang w:val="ru-RU" w:eastAsia="ru-RU" w:bidi="ar-SA"/>
    </w:rPr>
  </w:style>
  <w:style w:type="character" w:customStyle="1" w:styleId="endnoteReferencePHPDOCX">
    <w:name w:val="endnote Reference PHPDOCX"/>
    <w:basedOn w:val="DefaultParagraphFontPHPDOCX"/>
    <w:uiPriority w:val="99"/>
    <w:semiHidden/>
    <w:rPr>
      <w:rFonts w:cs="Times New Roman"/>
      <w:vertAlign w:val="superscript"/>
    </w:rPr>
  </w:style>
  <w:style w:type="table" w:customStyle="1" w:styleId="myTableStyle">
    <w:name w:val="myTableStyle"/>
    <w:uiPriority w:val="99"/>
    <w:rsid w:val="00451204"/>
    <w:rPr>
      <w:color w:val="000000"/>
      <w:sz w:val="20"/>
      <w:szCs w:val="20"/>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2259</Words>
  <Characters>12882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2026-04-17T07:20:00Z</dcterms:created>
  <dcterms:modified xsi:type="dcterms:W3CDTF">2026-04-17T07:23:00Z</dcterms:modified>
</cp:coreProperties>
</file>